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09" w:rsidRPr="0073210A" w:rsidRDefault="00E04598" w:rsidP="00E04598">
      <w:pPr>
        <w:ind w:left="26" w:right="360"/>
        <w:jc w:val="center"/>
        <w:rPr>
          <w:rFonts w:cs="PT Bold Heading" w:hint="cs"/>
          <w:sz w:val="48"/>
          <w:szCs w:val="48"/>
          <w:rtl/>
          <w:lang w:eastAsia="en-US"/>
        </w:rPr>
      </w:pPr>
      <w:r>
        <w:rPr>
          <w:rFonts w:cs="PT Bold Heading" w:hint="cs"/>
          <w:sz w:val="48"/>
          <w:szCs w:val="48"/>
          <w:rtl/>
          <w:lang w:eastAsia="en-US"/>
        </w:rPr>
        <w:t>بناء</w:t>
      </w:r>
      <w:r w:rsidR="00600D5D" w:rsidRPr="0073210A">
        <w:rPr>
          <w:rFonts w:cs="PT Bold Heading" w:hint="cs"/>
          <w:sz w:val="48"/>
          <w:szCs w:val="48"/>
          <w:rtl/>
          <w:lang w:eastAsia="en-US"/>
        </w:rPr>
        <w:t xml:space="preserve"> العلامة التجارية </w:t>
      </w:r>
      <w:r w:rsidR="0073210A" w:rsidRPr="0073210A">
        <w:rPr>
          <w:rFonts w:cs="PT Bold Heading" w:hint="cs"/>
          <w:sz w:val="48"/>
          <w:szCs w:val="48"/>
          <w:rtl/>
          <w:lang w:eastAsia="en-US"/>
        </w:rPr>
        <w:t>للدولة</w:t>
      </w:r>
      <w:r>
        <w:rPr>
          <w:rFonts w:cs="PT Bold Heading" w:hint="cs"/>
          <w:sz w:val="48"/>
          <w:szCs w:val="48"/>
          <w:rtl/>
          <w:lang w:eastAsia="en-US"/>
        </w:rPr>
        <w:t xml:space="preserve">، وأثر ذلك على </w:t>
      </w:r>
      <w:r w:rsidR="0073210A" w:rsidRPr="0073210A">
        <w:rPr>
          <w:rFonts w:cs="PT Bold Heading" w:hint="cs"/>
          <w:sz w:val="48"/>
          <w:szCs w:val="48"/>
          <w:rtl/>
          <w:lang w:eastAsia="en-US"/>
        </w:rPr>
        <w:t>جذب الاستثمارات الخارجية</w:t>
      </w:r>
    </w:p>
    <w:p w:rsidR="00E50F09" w:rsidRPr="00751C3A" w:rsidRDefault="00E50F09" w:rsidP="00E50F09">
      <w:pPr>
        <w:ind w:left="26" w:right="360"/>
        <w:jc w:val="center"/>
        <w:rPr>
          <w:rFonts w:cs="Simplified Arabic" w:hint="cs"/>
          <w:b/>
          <w:bCs/>
          <w:sz w:val="28"/>
          <w:szCs w:val="28"/>
          <w:rtl/>
          <w:lang w:eastAsia="en-US"/>
        </w:rPr>
      </w:pPr>
      <w:r w:rsidRPr="00751C3A">
        <w:rPr>
          <w:rFonts w:cs="Simplified Arabic" w:hint="cs"/>
          <w:b/>
          <w:bCs/>
          <w:sz w:val="28"/>
          <w:szCs w:val="28"/>
          <w:rtl/>
          <w:lang w:eastAsia="en-US"/>
        </w:rPr>
        <w:t>د. أحمد بن عبدالرحمن الشميمري - أستاذ إدارة الأعمال المشارك</w:t>
      </w:r>
      <w:r w:rsidR="00751C3A" w:rsidRPr="00751C3A">
        <w:rPr>
          <w:rFonts w:cs="Simplified Arabic" w:hint="cs"/>
          <w:b/>
          <w:bCs/>
          <w:sz w:val="28"/>
          <w:szCs w:val="28"/>
          <w:rtl/>
          <w:lang w:eastAsia="en-US"/>
        </w:rPr>
        <w:t xml:space="preserve"> </w:t>
      </w:r>
      <w:r w:rsidR="00751C3A" w:rsidRPr="00751C3A">
        <w:rPr>
          <w:rFonts w:cs="Simplified Arabic"/>
          <w:b/>
          <w:bCs/>
          <w:sz w:val="28"/>
          <w:szCs w:val="28"/>
          <w:rtl/>
          <w:lang w:eastAsia="en-US"/>
        </w:rPr>
        <w:t>–</w:t>
      </w:r>
      <w:r w:rsidR="00751C3A" w:rsidRPr="00751C3A">
        <w:rPr>
          <w:rFonts w:cs="Simplified Arabic" w:hint="cs"/>
          <w:b/>
          <w:bCs/>
          <w:sz w:val="28"/>
          <w:szCs w:val="28"/>
          <w:rtl/>
          <w:lang w:eastAsia="en-US"/>
        </w:rPr>
        <w:t xml:space="preserve"> </w:t>
      </w:r>
      <w:r w:rsidR="0073210A">
        <w:rPr>
          <w:rFonts w:cs="Simplified Arabic" w:hint="cs"/>
          <w:b/>
          <w:bCs/>
          <w:sz w:val="28"/>
          <w:szCs w:val="28"/>
          <w:rtl/>
          <w:lang w:eastAsia="en-US"/>
        </w:rPr>
        <w:t xml:space="preserve"> عميد الدراسات العليا - </w:t>
      </w:r>
      <w:r w:rsidR="00751C3A" w:rsidRPr="00751C3A">
        <w:rPr>
          <w:rFonts w:cs="Simplified Arabic" w:hint="cs"/>
          <w:b/>
          <w:bCs/>
          <w:sz w:val="28"/>
          <w:szCs w:val="28"/>
          <w:rtl/>
          <w:lang w:eastAsia="en-US"/>
        </w:rPr>
        <w:t xml:space="preserve">جامعة القصيم </w:t>
      </w:r>
    </w:p>
    <w:p w:rsidR="00600D5D" w:rsidRDefault="00600D5D" w:rsidP="00600D5D">
      <w:pPr>
        <w:ind w:left="26" w:right="360"/>
        <w:jc w:val="center"/>
        <w:rPr>
          <w:rFonts w:cs="Simplified Arabic" w:hint="cs"/>
          <w:b/>
          <w:bCs/>
          <w:sz w:val="28"/>
          <w:szCs w:val="28"/>
          <w:rtl/>
          <w:lang w:eastAsia="en-US"/>
        </w:rPr>
      </w:pPr>
    </w:p>
    <w:p w:rsidR="00600D5D" w:rsidRDefault="00341F04" w:rsidP="00600D5D">
      <w:pPr>
        <w:ind w:left="26" w:right="360"/>
        <w:jc w:val="lowKashida"/>
        <w:rPr>
          <w:rFonts w:cs="Simplified Arabic" w:hint="cs"/>
          <w:b/>
          <w:bCs/>
          <w:sz w:val="28"/>
          <w:szCs w:val="28"/>
          <w:rtl/>
          <w:lang w:eastAsia="en-US"/>
        </w:rPr>
      </w:pPr>
      <w:r w:rsidRPr="00603528">
        <w:rPr>
          <w:rFonts w:cs="Simplified Arabic" w:hint="cs"/>
          <w:b/>
          <w:bCs/>
          <w:sz w:val="28"/>
          <w:szCs w:val="28"/>
          <w:rtl/>
          <w:lang w:eastAsia="en-US"/>
        </w:rPr>
        <w:t>إن بناء العلامة أصبح واحداً من أقوى أدوات التسويق الاستراتيجي فهناك إدراك عام لدى الأكاديم</w:t>
      </w:r>
      <w:r w:rsidR="00751C3A">
        <w:rPr>
          <w:rFonts w:cs="Simplified Arabic" w:hint="cs"/>
          <w:b/>
          <w:bCs/>
          <w:sz w:val="28"/>
          <w:szCs w:val="28"/>
          <w:rtl/>
          <w:lang w:eastAsia="en-US"/>
        </w:rPr>
        <w:t>ي</w:t>
      </w:r>
      <w:r w:rsidR="0073210A">
        <w:rPr>
          <w:rFonts w:cs="Simplified Arabic" w:hint="cs"/>
          <w:b/>
          <w:bCs/>
          <w:sz w:val="28"/>
          <w:szCs w:val="28"/>
          <w:rtl/>
          <w:lang w:eastAsia="en-US"/>
        </w:rPr>
        <w:t>ين والممارسين بأن الدول</w:t>
      </w:r>
      <w:r w:rsidRPr="00603528">
        <w:rPr>
          <w:rFonts w:cs="Simplified Arabic" w:hint="cs"/>
          <w:b/>
          <w:bCs/>
          <w:sz w:val="28"/>
          <w:szCs w:val="28"/>
          <w:rtl/>
          <w:lang w:eastAsia="en-US"/>
        </w:rPr>
        <w:t xml:space="preserve"> يمكن أن يكون لها علامة كما هو الحال بالنسبة للسلع والخدمات. وأصبح موضوع بناء علامة للدولة قضية هامة خاصة لتلك التي تسعى إلى تعزيز مكانة لها على المستوى الدولي</w:t>
      </w:r>
      <w:r w:rsidR="00600D5D">
        <w:rPr>
          <w:rFonts w:cs="Simplified Arabic" w:hint="cs"/>
          <w:b/>
          <w:bCs/>
          <w:sz w:val="28"/>
          <w:szCs w:val="28"/>
          <w:rtl/>
          <w:lang w:eastAsia="en-US"/>
        </w:rPr>
        <w:t xml:space="preserve"> وتحرص على جذب الاستثمارات الأجنبية</w:t>
      </w:r>
      <w:r w:rsidRPr="00603528">
        <w:rPr>
          <w:rFonts w:cs="Simplified Arabic" w:hint="cs"/>
          <w:b/>
          <w:bCs/>
          <w:sz w:val="28"/>
          <w:szCs w:val="28"/>
          <w:rtl/>
          <w:lang w:eastAsia="en-US"/>
        </w:rPr>
        <w:t>.  وقد ازداد الاتجاه نحو تحسين الصورة الإيجابة دولياً بعد عولمة التجارة وانفتاح العالم الاقتصادي والثقافي الذي صاحبه انتشار حوادث الإرهاب وغسيل الأموال والجريمة المنظمة والحروب. وبالرغم من هذه الأهمية فإن مفهوم العلامة للأماكن يظل مفهوماً جديداً إلى حد ما، ويفتقد إلى الدراسات</w:t>
      </w:r>
      <w:r>
        <w:rPr>
          <w:rFonts w:cs="Simplified Arabic" w:hint="cs"/>
          <w:b/>
          <w:bCs/>
          <w:sz w:val="28"/>
          <w:szCs w:val="28"/>
          <w:rtl/>
          <w:lang w:eastAsia="en-US"/>
        </w:rPr>
        <w:t xml:space="preserve"> الميدانية والأكاديمية المنهجية.</w:t>
      </w:r>
    </w:p>
    <w:p w:rsidR="00600D5D" w:rsidRDefault="00600D5D" w:rsidP="00E50F09">
      <w:pPr>
        <w:ind w:left="26" w:right="360" w:firstLine="366"/>
        <w:jc w:val="lowKashida"/>
        <w:rPr>
          <w:rFonts w:cs="Simplified Arabic" w:hint="cs"/>
          <w:b/>
          <w:bCs/>
          <w:sz w:val="28"/>
          <w:szCs w:val="28"/>
          <w:rtl/>
        </w:rPr>
      </w:pPr>
      <w:r w:rsidRPr="00603528">
        <w:rPr>
          <w:rFonts w:cs="Simplified Arabic" w:hint="cs"/>
          <w:b/>
          <w:bCs/>
          <w:sz w:val="28"/>
          <w:szCs w:val="28"/>
          <w:rtl/>
        </w:rPr>
        <w:t>وقد برزت فكرة أن تتصرف الدول كالشركات فيما يتعلق بالعلامة وأصبحت توجهاً مألوفاً لدى رجال التسويق والاقتصاد والسياسة خاصة في تلك الدول التي تسعى إلى اكتساب مزيد من القبول لها ولقيمها وتنشد لها موقعاً في السوق العالمية لترويج صادراتها، واجتذاب الاستثمارات والسياحة. وقد أوضحت الدراسات أن انتقال رأس المال الدولي يت</w:t>
      </w:r>
      <w:r>
        <w:rPr>
          <w:rFonts w:cs="Simplified Arabic" w:hint="cs"/>
          <w:b/>
          <w:bCs/>
          <w:sz w:val="28"/>
          <w:szCs w:val="28"/>
          <w:rtl/>
        </w:rPr>
        <w:t>أثر بالانطباع حول الدولة كعلامة،</w:t>
      </w:r>
      <w:r w:rsidRPr="00603528">
        <w:rPr>
          <w:rFonts w:cs="Simplified Arabic" w:hint="cs"/>
          <w:b/>
          <w:bCs/>
          <w:sz w:val="28"/>
          <w:szCs w:val="28"/>
          <w:rtl/>
        </w:rPr>
        <w:t xml:space="preserve"> كما أن موقع العلامة وإدارة العلامة لدولة ما أصبح أداة حاسمة في جذ</w:t>
      </w:r>
      <w:r>
        <w:rPr>
          <w:rFonts w:cs="Simplified Arabic" w:hint="cs"/>
          <w:b/>
          <w:bCs/>
          <w:sz w:val="28"/>
          <w:szCs w:val="28"/>
          <w:rtl/>
        </w:rPr>
        <w:t>ب رأس المال العالمي لتلك الدولة.</w:t>
      </w:r>
    </w:p>
    <w:p w:rsidR="00341F04" w:rsidRDefault="00600D5D" w:rsidP="0073210A">
      <w:pPr>
        <w:ind w:left="26" w:right="360" w:firstLine="366"/>
        <w:jc w:val="lowKashida"/>
        <w:rPr>
          <w:rFonts w:cs="Simplified Arabic" w:hint="cs"/>
          <w:b/>
          <w:bCs/>
          <w:sz w:val="28"/>
          <w:szCs w:val="28"/>
          <w:rtl/>
          <w:lang w:eastAsia="en-US"/>
        </w:rPr>
      </w:pPr>
      <w:r w:rsidRPr="00600D5D">
        <w:rPr>
          <w:rFonts w:cs="Simplified Arabic" w:hint="cs"/>
          <w:b/>
          <w:bCs/>
          <w:sz w:val="28"/>
          <w:szCs w:val="28"/>
          <w:rtl/>
          <w:lang w:eastAsia="en-US"/>
        </w:rPr>
        <w:t xml:space="preserve"> </w:t>
      </w:r>
      <w:r>
        <w:rPr>
          <w:rFonts w:cs="Simplified Arabic" w:hint="cs"/>
          <w:b/>
          <w:bCs/>
          <w:sz w:val="28"/>
          <w:szCs w:val="28"/>
          <w:rtl/>
          <w:lang w:eastAsia="en-US"/>
        </w:rPr>
        <w:t>تهدف هذه الورقة</w:t>
      </w:r>
      <w:r w:rsidRPr="0058727D">
        <w:rPr>
          <w:rFonts w:cs="Simplified Arabic" w:hint="cs"/>
          <w:b/>
          <w:bCs/>
          <w:sz w:val="28"/>
          <w:szCs w:val="28"/>
          <w:rtl/>
          <w:lang w:eastAsia="en-US"/>
        </w:rPr>
        <w:t xml:space="preserve"> إلى </w:t>
      </w:r>
      <w:r>
        <w:rPr>
          <w:rFonts w:cs="Simplified Arabic" w:hint="cs"/>
          <w:b/>
          <w:bCs/>
          <w:sz w:val="28"/>
          <w:szCs w:val="28"/>
          <w:rtl/>
          <w:lang w:eastAsia="en-US"/>
        </w:rPr>
        <w:t xml:space="preserve">إلقاء الضوء على </w:t>
      </w:r>
      <w:r w:rsidRPr="0058727D">
        <w:rPr>
          <w:rFonts w:cs="Simplified Arabic" w:hint="cs"/>
          <w:b/>
          <w:bCs/>
          <w:sz w:val="28"/>
          <w:szCs w:val="28"/>
          <w:rtl/>
          <w:lang w:eastAsia="en-US"/>
        </w:rPr>
        <w:t>الأبعاد المميزة للعلامة التجارية</w:t>
      </w:r>
      <w:r w:rsidR="0073210A">
        <w:rPr>
          <w:rFonts w:cs="Simplified Arabic" w:hint="cs"/>
          <w:b/>
          <w:bCs/>
          <w:sz w:val="28"/>
          <w:szCs w:val="28"/>
          <w:rtl/>
          <w:lang w:eastAsia="en-US"/>
        </w:rPr>
        <w:t xml:space="preserve"> للدول</w:t>
      </w:r>
      <w:r w:rsidR="00626599">
        <w:rPr>
          <w:rFonts w:cs="Simplified Arabic" w:hint="cs"/>
          <w:b/>
          <w:bCs/>
          <w:sz w:val="28"/>
          <w:szCs w:val="28"/>
          <w:rtl/>
          <w:lang w:eastAsia="en-US"/>
        </w:rPr>
        <w:t xml:space="preserve">. </w:t>
      </w:r>
      <w:r w:rsidR="00626599">
        <w:rPr>
          <w:rFonts w:cs="Simplified Arabic" w:hint="cs"/>
          <w:b/>
          <w:bCs/>
          <w:sz w:val="28"/>
          <w:szCs w:val="28"/>
          <w:rtl/>
        </w:rPr>
        <w:t xml:space="preserve">وكيفية </w:t>
      </w:r>
      <w:r w:rsidR="00341F04" w:rsidRPr="00603528">
        <w:rPr>
          <w:rFonts w:cs="Simplified Arabic" w:hint="cs"/>
          <w:b/>
          <w:bCs/>
          <w:sz w:val="28"/>
          <w:szCs w:val="28"/>
          <w:rtl/>
        </w:rPr>
        <w:t>بناء هذه العلامة</w:t>
      </w:r>
      <w:r w:rsidR="00626599">
        <w:rPr>
          <w:rFonts w:cs="Simplified Arabic" w:hint="cs"/>
          <w:b/>
          <w:bCs/>
          <w:sz w:val="28"/>
          <w:szCs w:val="28"/>
          <w:rtl/>
        </w:rPr>
        <w:t xml:space="preserve"> ومعالم</w:t>
      </w:r>
      <w:r w:rsidR="00341F04" w:rsidRPr="00603528">
        <w:rPr>
          <w:rFonts w:cs="Simplified Arabic" w:hint="cs"/>
          <w:b/>
          <w:bCs/>
          <w:sz w:val="28"/>
          <w:szCs w:val="28"/>
          <w:rtl/>
        </w:rPr>
        <w:t xml:space="preserve"> تحد</w:t>
      </w:r>
      <w:r w:rsidR="00626599">
        <w:rPr>
          <w:rFonts w:cs="Simplified Arabic" w:hint="cs"/>
          <w:b/>
          <w:bCs/>
          <w:sz w:val="28"/>
          <w:szCs w:val="28"/>
          <w:rtl/>
        </w:rPr>
        <w:t>ي</w:t>
      </w:r>
      <w:r w:rsidR="00341F04" w:rsidRPr="00603528">
        <w:rPr>
          <w:rFonts w:cs="Simplified Arabic" w:hint="cs"/>
          <w:b/>
          <w:bCs/>
          <w:sz w:val="28"/>
          <w:szCs w:val="28"/>
          <w:rtl/>
        </w:rPr>
        <w:t>د قيمها ومميزاتها التنافسية المستديمة التي يمكن أن تبني من خلالها العلامة</w:t>
      </w:r>
      <w:r w:rsidR="0073210A">
        <w:rPr>
          <w:rFonts w:cs="Simplified Arabic" w:hint="cs"/>
          <w:b/>
          <w:bCs/>
          <w:sz w:val="28"/>
          <w:szCs w:val="28"/>
          <w:rtl/>
        </w:rPr>
        <w:t>، وعلاقة هذه العلامة بجذب وتنمية الاستثمارات</w:t>
      </w:r>
      <w:r w:rsidR="00341F04" w:rsidRPr="00603528">
        <w:rPr>
          <w:rFonts w:cs="Simplified Arabic" w:hint="cs"/>
          <w:b/>
          <w:bCs/>
          <w:sz w:val="28"/>
          <w:szCs w:val="28"/>
          <w:rtl/>
        </w:rPr>
        <w:t xml:space="preserve">. </w:t>
      </w:r>
      <w:r w:rsidR="0073210A">
        <w:rPr>
          <w:rFonts w:cs="Simplified Arabic" w:hint="cs"/>
          <w:b/>
          <w:bCs/>
          <w:sz w:val="28"/>
          <w:szCs w:val="28"/>
          <w:rtl/>
        </w:rPr>
        <w:t xml:space="preserve">كما الدراسة بعض النماذج الناجحة لبعض الدول التي بنت لها علامة تجارية عالمية مرموقة. </w:t>
      </w:r>
      <w:r w:rsidR="00626599">
        <w:rPr>
          <w:rFonts w:cs="Simplified Arabic" w:hint="cs"/>
          <w:b/>
          <w:bCs/>
          <w:sz w:val="28"/>
          <w:szCs w:val="28"/>
          <w:rtl/>
        </w:rPr>
        <w:t xml:space="preserve">كما تستعرض الورقة بالأرقام والرسومات البيانية </w:t>
      </w:r>
      <w:r w:rsidR="0073210A">
        <w:rPr>
          <w:rFonts w:cs="Simplified Arabic" w:hint="cs"/>
          <w:b/>
          <w:bCs/>
          <w:sz w:val="28"/>
          <w:szCs w:val="28"/>
          <w:rtl/>
        </w:rPr>
        <w:t xml:space="preserve">النتائج التي توصلت إليها تلك الدول من تقدم في دعم استثماراتها وجذبها للعالم الخارجي. </w:t>
      </w:r>
      <w:r w:rsidR="00626599">
        <w:rPr>
          <w:rFonts w:cs="Simplified Arabic" w:hint="cs"/>
          <w:b/>
          <w:bCs/>
          <w:sz w:val="28"/>
          <w:szCs w:val="28"/>
          <w:rtl/>
        </w:rPr>
        <w:t>وأخيراً تضع بعض المقترحات والتوصيات المتعلقة ب</w:t>
      </w:r>
      <w:r w:rsidR="0073210A">
        <w:rPr>
          <w:rFonts w:cs="Simplified Arabic" w:hint="cs"/>
          <w:b/>
          <w:bCs/>
          <w:sz w:val="28"/>
          <w:szCs w:val="28"/>
          <w:rtl/>
          <w:lang w:eastAsia="en-US"/>
        </w:rPr>
        <w:t>سبل إدارة وتعزيز علامة الدولة وتستخدم المملكة العربية السعودية نموذجاً</w:t>
      </w:r>
      <w:r w:rsidR="00626599">
        <w:rPr>
          <w:rFonts w:cs="Simplified Arabic" w:hint="cs"/>
          <w:b/>
          <w:bCs/>
          <w:sz w:val="28"/>
          <w:szCs w:val="28"/>
          <w:rtl/>
          <w:lang w:eastAsia="en-US"/>
        </w:rPr>
        <w:t>.</w:t>
      </w:r>
    </w:p>
    <w:p w:rsidR="009376DC" w:rsidRDefault="009376DC" w:rsidP="009376DC">
      <w:pPr>
        <w:rPr>
          <w:rtl/>
        </w:rPr>
      </w:pPr>
    </w:p>
    <w:p w:rsidR="009376DC" w:rsidRPr="009376DC" w:rsidRDefault="003A2DB3" w:rsidP="009376DC">
      <w:pPr>
        <w:pStyle w:val="10"/>
        <w:shd w:val="pct10" w:color="000000" w:fill="FFFFFF"/>
        <w:jc w:val="lowKashida"/>
        <w:rPr>
          <w:rFonts w:cs="AL-Mohanad" w:hint="cs"/>
          <w:color w:val="000000"/>
          <w:szCs w:val="32"/>
          <w:rtl/>
        </w:rPr>
      </w:pPr>
      <w:r>
        <w:rPr>
          <w:rFonts w:cs="AL-Mohanad"/>
          <w:noProof/>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643890</wp:posOffset>
            </wp:positionV>
            <wp:extent cx="996950" cy="1238250"/>
            <wp:effectExtent l="19050" t="19050" r="12700" b="19050"/>
            <wp:wrapNone/>
            <wp:docPr id="3" name="Picture 3" descr="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pic:cNvPicPr>
                      <a:picLocks noChangeAspect="1" noChangeArrowheads="1"/>
                    </pic:cNvPicPr>
                  </pic:nvPicPr>
                  <pic:blipFill>
                    <a:blip r:embed="rId5" cstate="print"/>
                    <a:srcRect/>
                    <a:stretch>
                      <a:fillRect/>
                    </a:stretch>
                  </pic:blipFill>
                  <pic:spPr bwMode="auto">
                    <a:xfrm>
                      <a:off x="0" y="0"/>
                      <a:ext cx="996950" cy="1238250"/>
                    </a:xfrm>
                    <a:prstGeom prst="rect">
                      <a:avLst/>
                    </a:prstGeom>
                    <a:noFill/>
                    <a:ln w="19050">
                      <a:solidFill>
                        <a:srgbClr val="800000"/>
                      </a:solidFill>
                      <a:miter lim="800000"/>
                      <a:headEnd/>
                      <a:tailEnd/>
                    </a:ln>
                  </pic:spPr>
                </pic:pic>
              </a:graphicData>
            </a:graphic>
          </wp:anchor>
        </w:drawing>
      </w:r>
      <w:r w:rsidR="009376DC" w:rsidRPr="009376DC">
        <w:rPr>
          <w:rFonts w:cs="AL-Mohanad" w:hint="cs"/>
          <w:noProof/>
          <w:rtl/>
        </w:rPr>
        <w:t xml:space="preserve">سيرة ذاتية مختصرة </w:t>
      </w:r>
    </w:p>
    <w:p w:rsidR="009376DC" w:rsidRDefault="009376DC" w:rsidP="009376DC">
      <w:pPr>
        <w:ind w:left="720"/>
        <w:jc w:val="lowKashida"/>
        <w:rPr>
          <w:szCs w:val="32"/>
          <w:rtl/>
        </w:rPr>
      </w:pPr>
    </w:p>
    <w:p w:rsidR="009376DC" w:rsidRPr="002752E6" w:rsidRDefault="002C62F6" w:rsidP="002752E6">
      <w:pPr>
        <w:ind w:right="1701"/>
        <w:rPr>
          <w:rFonts w:cs="AL-Mohanad"/>
          <w:color w:val="000000"/>
          <w:szCs w:val="32"/>
          <w:rtl/>
        </w:rPr>
      </w:pPr>
      <w:r>
        <w:rPr>
          <w:rFonts w:cs="AL-Mohanad" w:hint="cs"/>
          <w:color w:val="000000"/>
          <w:szCs w:val="32"/>
          <w:rtl/>
        </w:rPr>
        <w:t xml:space="preserve">د. </w:t>
      </w:r>
      <w:r w:rsidR="009376DC" w:rsidRPr="002752E6">
        <w:rPr>
          <w:rFonts w:cs="AL-Mohanad"/>
          <w:color w:val="000000"/>
          <w:szCs w:val="32"/>
          <w:rtl/>
        </w:rPr>
        <w:t>أحمد بن عبدالرحمن الناصر الشميمري</w:t>
      </w:r>
    </w:p>
    <w:p w:rsidR="009376DC" w:rsidRPr="002752E6" w:rsidRDefault="009376DC" w:rsidP="002752E6">
      <w:pPr>
        <w:numPr>
          <w:ilvl w:val="0"/>
          <w:numId w:val="3"/>
        </w:numPr>
        <w:tabs>
          <w:tab w:val="clear" w:pos="1080"/>
          <w:tab w:val="num" w:pos="360"/>
        </w:tabs>
        <w:ind w:left="360" w:right="1620"/>
        <w:rPr>
          <w:rFonts w:cs="AL-Mohanad"/>
          <w:szCs w:val="32"/>
          <w:rtl/>
        </w:rPr>
      </w:pPr>
      <w:r w:rsidRPr="002752E6">
        <w:rPr>
          <w:rFonts w:cs="AL-Mohanad" w:hint="cs"/>
          <w:szCs w:val="32"/>
          <w:rtl/>
        </w:rPr>
        <w:t>عمي</w:t>
      </w:r>
      <w:r w:rsidR="002752E6">
        <w:rPr>
          <w:rFonts w:cs="AL-Mohanad" w:hint="cs"/>
          <w:szCs w:val="32"/>
          <w:rtl/>
        </w:rPr>
        <w:t>د الدراسات العليا- جامعة القصيم</w:t>
      </w:r>
    </w:p>
    <w:p w:rsidR="002752E6" w:rsidRPr="002752E6" w:rsidRDefault="002752E6" w:rsidP="002752E6">
      <w:pPr>
        <w:numPr>
          <w:ilvl w:val="0"/>
          <w:numId w:val="3"/>
        </w:numPr>
        <w:tabs>
          <w:tab w:val="clear" w:pos="1080"/>
          <w:tab w:val="num" w:pos="360"/>
        </w:tabs>
        <w:ind w:left="360" w:right="1620"/>
        <w:rPr>
          <w:rFonts w:cs="AL-Mohanad" w:hint="cs"/>
          <w:szCs w:val="32"/>
        </w:rPr>
      </w:pPr>
      <w:r w:rsidRPr="002752E6">
        <w:rPr>
          <w:rFonts w:cs="AL-Mohanad" w:hint="cs"/>
          <w:szCs w:val="32"/>
          <w:rtl/>
        </w:rPr>
        <w:t xml:space="preserve">رئيس قسم إدارة الأعمال- جامعة القصيم </w:t>
      </w:r>
      <w:r w:rsidRPr="002752E6">
        <w:rPr>
          <w:rFonts w:cs="AL-Mohanad"/>
          <w:szCs w:val="32"/>
          <w:rtl/>
        </w:rPr>
        <w:t>–</w:t>
      </w:r>
      <w:r w:rsidRPr="002752E6">
        <w:rPr>
          <w:rFonts w:cs="AL-Mohanad" w:hint="cs"/>
          <w:szCs w:val="32"/>
          <w:rtl/>
        </w:rPr>
        <w:t xml:space="preserve"> 2001- 2005.</w:t>
      </w:r>
    </w:p>
    <w:p w:rsidR="009376DC" w:rsidRPr="002752E6" w:rsidRDefault="002752E6" w:rsidP="002752E6">
      <w:pPr>
        <w:numPr>
          <w:ilvl w:val="0"/>
          <w:numId w:val="3"/>
        </w:numPr>
        <w:tabs>
          <w:tab w:val="clear" w:pos="1080"/>
          <w:tab w:val="num" w:pos="360"/>
        </w:tabs>
        <w:ind w:left="360" w:right="1620"/>
        <w:rPr>
          <w:rFonts w:cs="AL-Mohanad" w:hint="cs"/>
          <w:szCs w:val="32"/>
        </w:rPr>
      </w:pPr>
      <w:r w:rsidRPr="002752E6">
        <w:rPr>
          <w:rFonts w:cs="AL-Mohanad" w:hint="cs"/>
          <w:szCs w:val="32"/>
          <w:rtl/>
        </w:rPr>
        <w:t xml:space="preserve">رئيس اللجنة العلمية </w:t>
      </w:r>
      <w:r w:rsidRPr="002752E6">
        <w:rPr>
          <w:rFonts w:cs="AL-Mohanad"/>
          <w:szCs w:val="32"/>
          <w:rtl/>
        </w:rPr>
        <w:t>–</w:t>
      </w:r>
      <w:r w:rsidRPr="002752E6">
        <w:rPr>
          <w:rFonts w:cs="AL-Mohanad" w:hint="cs"/>
          <w:szCs w:val="32"/>
          <w:rtl/>
        </w:rPr>
        <w:t xml:space="preserve"> الجمعية السعودية للإدارة</w:t>
      </w:r>
      <w:r>
        <w:rPr>
          <w:rFonts w:cs="AL-Mohanad" w:hint="cs"/>
          <w:szCs w:val="32"/>
          <w:rtl/>
        </w:rPr>
        <w:t>.</w:t>
      </w:r>
    </w:p>
    <w:p w:rsidR="007F7B53" w:rsidRDefault="007F7B53" w:rsidP="007F7B53">
      <w:pPr>
        <w:numPr>
          <w:ilvl w:val="0"/>
          <w:numId w:val="3"/>
        </w:numPr>
        <w:tabs>
          <w:tab w:val="clear" w:pos="1080"/>
          <w:tab w:val="num" w:pos="360"/>
        </w:tabs>
        <w:ind w:left="360"/>
        <w:rPr>
          <w:rFonts w:cs="AL-Mohanad" w:hint="cs"/>
          <w:szCs w:val="32"/>
        </w:rPr>
      </w:pPr>
      <w:r>
        <w:rPr>
          <w:rFonts w:cs="AL-Mohanad" w:hint="cs"/>
          <w:szCs w:val="32"/>
          <w:rtl/>
        </w:rPr>
        <w:t xml:space="preserve">مستشار سوق المال للاستشارات المالية. </w:t>
      </w:r>
    </w:p>
    <w:p w:rsidR="002752E6" w:rsidRDefault="002752E6" w:rsidP="007F7B53">
      <w:pPr>
        <w:numPr>
          <w:ilvl w:val="0"/>
          <w:numId w:val="3"/>
        </w:numPr>
        <w:tabs>
          <w:tab w:val="clear" w:pos="1080"/>
          <w:tab w:val="num" w:pos="360"/>
        </w:tabs>
        <w:ind w:left="360"/>
        <w:rPr>
          <w:rFonts w:cs="AL-Mohanad" w:hint="cs"/>
          <w:szCs w:val="32"/>
        </w:rPr>
      </w:pPr>
      <w:r>
        <w:rPr>
          <w:rFonts w:cs="AL-Mohanad" w:hint="cs"/>
          <w:szCs w:val="32"/>
          <w:rtl/>
        </w:rPr>
        <w:t xml:space="preserve">مستشار إدارة الأعمال </w:t>
      </w:r>
      <w:r w:rsidR="007F7B53">
        <w:rPr>
          <w:rFonts w:cs="AL-Mohanad" w:hint="cs"/>
          <w:szCs w:val="32"/>
          <w:rtl/>
        </w:rPr>
        <w:t>لمجموعة المجد التجارية</w:t>
      </w:r>
      <w:r>
        <w:rPr>
          <w:rFonts w:cs="AL-Mohanad" w:hint="cs"/>
          <w:szCs w:val="32"/>
          <w:rtl/>
        </w:rPr>
        <w:t>.</w:t>
      </w:r>
    </w:p>
    <w:p w:rsidR="007F7B53" w:rsidRDefault="007F7B53" w:rsidP="002752E6">
      <w:pPr>
        <w:numPr>
          <w:ilvl w:val="0"/>
          <w:numId w:val="3"/>
        </w:numPr>
        <w:tabs>
          <w:tab w:val="clear" w:pos="1080"/>
          <w:tab w:val="num" w:pos="360"/>
        </w:tabs>
        <w:ind w:left="360"/>
        <w:rPr>
          <w:rFonts w:cs="AL-Mohanad" w:hint="cs"/>
          <w:szCs w:val="32"/>
        </w:rPr>
      </w:pPr>
      <w:r>
        <w:rPr>
          <w:rFonts w:cs="AL-Mohanad" w:hint="cs"/>
          <w:szCs w:val="32"/>
          <w:rtl/>
        </w:rPr>
        <w:t>عضو مجلس إدارة لعدد من شركات القطاع الخاص.</w:t>
      </w:r>
    </w:p>
    <w:p w:rsidR="002C62F6" w:rsidRPr="002752E6" w:rsidRDefault="002C62F6" w:rsidP="002752E6">
      <w:pPr>
        <w:numPr>
          <w:ilvl w:val="0"/>
          <w:numId w:val="3"/>
        </w:numPr>
        <w:tabs>
          <w:tab w:val="clear" w:pos="1080"/>
          <w:tab w:val="num" w:pos="360"/>
        </w:tabs>
        <w:ind w:left="360"/>
        <w:rPr>
          <w:rFonts w:cs="AL-Mohanad" w:hint="cs"/>
          <w:szCs w:val="32"/>
        </w:rPr>
      </w:pPr>
      <w:r>
        <w:rPr>
          <w:rFonts w:cs="AL-Mohanad" w:hint="cs"/>
          <w:szCs w:val="32"/>
          <w:rtl/>
        </w:rPr>
        <w:t xml:space="preserve">له أكثر من 30 </w:t>
      </w:r>
      <w:r w:rsidR="007F7B53">
        <w:rPr>
          <w:rFonts w:cs="AL-Mohanad" w:hint="cs"/>
          <w:szCs w:val="32"/>
          <w:rtl/>
        </w:rPr>
        <w:t xml:space="preserve">عملاً منشوراً ما بين مؤلف وبحث ودراسة </w:t>
      </w:r>
      <w:r>
        <w:rPr>
          <w:rFonts w:cs="AL-Mohanad" w:hint="cs"/>
          <w:szCs w:val="32"/>
          <w:rtl/>
        </w:rPr>
        <w:t>في مجال إدارة الأعمال.</w:t>
      </w:r>
    </w:p>
    <w:p w:rsidR="009376DC" w:rsidRDefault="009376DC" w:rsidP="009376DC">
      <w:pPr>
        <w:ind w:left="720"/>
        <w:jc w:val="lowKashida"/>
        <w:rPr>
          <w:rFonts w:hint="cs"/>
          <w:szCs w:val="32"/>
          <w:rtl/>
        </w:rPr>
      </w:pPr>
    </w:p>
    <w:p w:rsidR="009376DC" w:rsidRDefault="009376DC" w:rsidP="003A729D">
      <w:pPr>
        <w:ind w:left="26" w:right="360" w:firstLine="366"/>
        <w:rPr>
          <w:rFonts w:cs="Simplified Arabic" w:hint="cs"/>
          <w:b/>
          <w:bCs/>
          <w:sz w:val="28"/>
          <w:szCs w:val="28"/>
          <w:rtl/>
          <w:lang w:eastAsia="en-US"/>
        </w:rPr>
      </w:pPr>
    </w:p>
    <w:p w:rsidR="009376DC" w:rsidRPr="00E50F09" w:rsidRDefault="009376DC" w:rsidP="003A729D">
      <w:pPr>
        <w:ind w:left="26" w:right="360" w:firstLine="366"/>
        <w:rPr>
          <w:rFonts w:cs="Simplified Arabic" w:hint="cs"/>
          <w:b/>
          <w:bCs/>
          <w:sz w:val="28"/>
          <w:szCs w:val="28"/>
          <w:lang w:eastAsia="en-US"/>
        </w:rPr>
      </w:pPr>
    </w:p>
    <w:sectPr w:rsidR="009376DC" w:rsidRPr="00E50F09" w:rsidSect="00FD5C8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10000000000000000"/>
    <w:charset w:val="00"/>
    <w:family w:val="swiss"/>
    <w:pitch w:val="variable"/>
    <w:sig w:usb0="20002A87" w:usb1="00000000" w:usb2="00000000"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1EC"/>
    <w:multiLevelType w:val="singleLevel"/>
    <w:tmpl w:val="D77E9728"/>
    <w:lvl w:ilvl="0">
      <w:start w:val="8"/>
      <w:numFmt w:val="bullet"/>
      <w:lvlText w:val="-"/>
      <w:lvlJc w:val="left"/>
      <w:pPr>
        <w:tabs>
          <w:tab w:val="num" w:pos="1080"/>
        </w:tabs>
        <w:ind w:left="1080" w:hanging="360"/>
      </w:pPr>
      <w:rPr>
        <w:rFonts w:cs="Times New Roman" w:hint="default"/>
        <w:sz w:val="32"/>
        <w:lang w:bidi="ar-SA"/>
      </w:rPr>
    </w:lvl>
  </w:abstractNum>
  <w:abstractNum w:abstractNumId="1">
    <w:nsid w:val="362A27C5"/>
    <w:multiLevelType w:val="singleLevel"/>
    <w:tmpl w:val="E37C8A08"/>
    <w:lvl w:ilvl="0">
      <w:start w:val="8"/>
      <w:numFmt w:val="bullet"/>
      <w:lvlText w:val="-"/>
      <w:lvlJc w:val="left"/>
      <w:pPr>
        <w:tabs>
          <w:tab w:val="num" w:pos="1080"/>
        </w:tabs>
        <w:ind w:left="1080" w:hanging="360"/>
      </w:pPr>
      <w:rPr>
        <w:rFonts w:cs="Times New Roman" w:hint="default"/>
        <w:sz w:val="32"/>
      </w:rPr>
    </w:lvl>
  </w:abstractNum>
  <w:abstractNum w:abstractNumId="2">
    <w:nsid w:val="40DD23A3"/>
    <w:multiLevelType w:val="singleLevel"/>
    <w:tmpl w:val="B9BAC5A2"/>
    <w:lvl w:ilvl="0">
      <w:start w:val="8"/>
      <w:numFmt w:val="bullet"/>
      <w:lvlText w:val="-"/>
      <w:lvlJc w:val="left"/>
      <w:pPr>
        <w:tabs>
          <w:tab w:val="num" w:pos="1080"/>
        </w:tabs>
        <w:ind w:left="1080" w:hanging="360"/>
      </w:pPr>
      <w:rPr>
        <w:rFonts w:cs="Times New Roman" w:hint="default"/>
        <w:sz w:val="32"/>
      </w:rPr>
    </w:lvl>
  </w:abstractNum>
  <w:abstractNum w:abstractNumId="3">
    <w:nsid w:val="76450C05"/>
    <w:multiLevelType w:val="hybridMultilevel"/>
    <w:tmpl w:val="7B9CB226"/>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applyBreakingRules/>
  </w:compat>
  <w:rsids>
    <w:rsidRoot w:val="00FD5C80"/>
    <w:rsid w:val="000761B9"/>
    <w:rsid w:val="001A6DF7"/>
    <w:rsid w:val="002752E6"/>
    <w:rsid w:val="002A7F19"/>
    <w:rsid w:val="002C62F6"/>
    <w:rsid w:val="002E3D56"/>
    <w:rsid w:val="00341F04"/>
    <w:rsid w:val="003A2DB3"/>
    <w:rsid w:val="003A729D"/>
    <w:rsid w:val="00600D5D"/>
    <w:rsid w:val="00626599"/>
    <w:rsid w:val="0073210A"/>
    <w:rsid w:val="00751C3A"/>
    <w:rsid w:val="007F7B53"/>
    <w:rsid w:val="009376DC"/>
    <w:rsid w:val="00E04598"/>
    <w:rsid w:val="00E147AE"/>
    <w:rsid w:val="00E50F09"/>
    <w:rsid w:val="00E660C9"/>
    <w:rsid w:val="00FD5C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F04"/>
    <w:pPr>
      <w:bidi/>
    </w:pPr>
    <w:rPr>
      <w:sz w:val="24"/>
      <w:szCs w:val="24"/>
      <w:lang w:eastAsia="ar-SA"/>
    </w:rPr>
  </w:style>
  <w:style w:type="paragraph" w:styleId="Heading1">
    <w:name w:val="heading 1"/>
    <w:basedOn w:val="Normal"/>
    <w:next w:val="Normal"/>
    <w:qFormat/>
    <w:rsid w:val="009376D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Contemporary">
    <w:name w:val="Table Contemporary"/>
    <w:basedOn w:val="TableNormal"/>
    <w:rsid w:val="002A7F19"/>
    <w:pPr>
      <w:bidi/>
      <w:jc w:val="center"/>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
    <w:name w:val="عادي 1"/>
    <w:basedOn w:val="Normal"/>
    <w:rsid w:val="00E660C9"/>
    <w:pPr>
      <w:ind w:right="540"/>
      <w:jc w:val="lowKashida"/>
    </w:pPr>
    <w:rPr>
      <w:b/>
    </w:rPr>
  </w:style>
  <w:style w:type="paragraph" w:customStyle="1" w:styleId="10">
    <w:name w:val="نمط1"/>
    <w:basedOn w:val="Heading1"/>
    <w:rsid w:val="009376DC"/>
    <w:pPr>
      <w:pBdr>
        <w:top w:val="thinThickSmallGap" w:sz="24" w:space="1" w:color="auto"/>
      </w:pBdr>
      <w:shd w:val="pct5" w:color="auto" w:fill="FFFFFF"/>
    </w:pPr>
    <w:rPr>
      <w:rFonts w:cs="Arabic Transparent"/>
      <w:kern w:val="28"/>
      <w:sz w:val="28"/>
      <w:szCs w:val="4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تهدف هذه الورقة إلى إلقاء الضوء على الأبعاد المميزة للعلامة التجارية للمملكة العربية السعودية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تهدف هذه الورقة إلى إلقاء الضوء على الأبعاد المميزة للعلامة التجارية للمملكة العربية السعودية</dc:title>
  <dc:creator>*</dc:creator>
  <cp:lastModifiedBy>Ahmed</cp:lastModifiedBy>
  <cp:revision>2</cp:revision>
  <dcterms:created xsi:type="dcterms:W3CDTF">2013-04-13T11:20:00Z</dcterms:created>
  <dcterms:modified xsi:type="dcterms:W3CDTF">2013-04-13T11:20:00Z</dcterms:modified>
</cp:coreProperties>
</file>